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D0D2BC" w14:textId="77777777" w:rsidR="00CD1087" w:rsidRDefault="00CD1087" w:rsidP="000570CA">
      <w:pPr>
        <w:rPr>
          <w:rStyle w:val="Strong"/>
          <w:rFonts w:ascii="Times New Roman" w:eastAsiaTheme="majorEastAsia" w:hAnsi="Times New Roman" w:cs="Times New Roman"/>
          <w:sz w:val="24"/>
          <w:szCs w:val="24"/>
        </w:rPr>
      </w:pPr>
    </w:p>
    <w:p w14:paraId="0B3169D7" w14:textId="1180124C" w:rsidR="000570CA" w:rsidRPr="002E0771" w:rsidRDefault="000570CA" w:rsidP="000570CA">
      <w:pPr>
        <w:rPr>
          <w:rFonts w:ascii="Times New Roman" w:hAnsi="Times New Roman" w:cs="Times New Roman"/>
          <w:color w:val="000000" w:themeColor="text1"/>
          <w:sz w:val="24"/>
          <w:szCs w:val="24"/>
        </w:rPr>
      </w:pPr>
      <w:r w:rsidRPr="002E0771">
        <w:rPr>
          <w:rStyle w:val="Strong"/>
          <w:rFonts w:ascii="Times New Roman" w:eastAsiaTheme="majorEastAsia" w:hAnsi="Times New Roman" w:cs="Times New Roman"/>
          <w:color w:val="000000" w:themeColor="text1"/>
          <w:sz w:val="24"/>
          <w:szCs w:val="24"/>
        </w:rPr>
        <w:t>To:</w:t>
      </w:r>
      <w:r w:rsidRPr="002E0771">
        <w:rPr>
          <w:rStyle w:val="Strong"/>
          <w:rFonts w:ascii="Times New Roman" w:eastAsiaTheme="majorEastAsia" w:hAnsi="Times New Roman" w:cs="Times New Roman"/>
          <w:color w:val="000000" w:themeColor="text1"/>
          <w:sz w:val="24"/>
          <w:szCs w:val="24"/>
        </w:rPr>
        <w:tab/>
      </w:r>
      <w:r w:rsidRPr="002E0771">
        <w:rPr>
          <w:rStyle w:val="Strong"/>
          <w:rFonts w:ascii="Times New Roman" w:eastAsiaTheme="majorEastAsia" w:hAnsi="Times New Roman" w:cs="Times New Roman"/>
          <w:color w:val="000000" w:themeColor="text1"/>
          <w:sz w:val="24"/>
          <w:szCs w:val="24"/>
        </w:rPr>
        <w:tab/>
      </w:r>
      <w:r w:rsidR="00150759">
        <w:rPr>
          <w:rFonts w:ascii="Times New Roman" w:hAnsi="Times New Roman" w:cs="Times New Roman"/>
          <w:color w:val="000000" w:themeColor="text1"/>
          <w:sz w:val="24"/>
          <w:szCs w:val="24"/>
        </w:rPr>
        <w:t>Robert Parish</w:t>
      </w:r>
      <w:r w:rsidR="002E0771" w:rsidRPr="002E0771">
        <w:rPr>
          <w:rFonts w:ascii="Times New Roman" w:hAnsi="Times New Roman" w:cs="Times New Roman"/>
          <w:color w:val="000000" w:themeColor="text1"/>
          <w:sz w:val="24"/>
          <w:szCs w:val="24"/>
        </w:rPr>
        <w:t xml:space="preserve">, </w:t>
      </w:r>
      <w:r w:rsidR="00150759">
        <w:rPr>
          <w:rFonts w:ascii="Times New Roman" w:hAnsi="Times New Roman" w:cs="Times New Roman"/>
          <w:color w:val="000000" w:themeColor="text1"/>
          <w:sz w:val="24"/>
          <w:szCs w:val="24"/>
        </w:rPr>
        <w:t>Attorney</w:t>
      </w:r>
    </w:p>
    <w:p w14:paraId="01B61408" w14:textId="580A1707" w:rsidR="000570CA" w:rsidRPr="002E0771" w:rsidRDefault="00150759" w:rsidP="000570CA">
      <w:pPr>
        <w:ind w:left="720" w:firstLine="72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Legal</w:t>
      </w:r>
      <w:r w:rsidR="00A0641D" w:rsidRPr="002E0771">
        <w:rPr>
          <w:rFonts w:ascii="Times New Roman" w:hAnsi="Times New Roman" w:cs="Times New Roman"/>
          <w:color w:val="000000" w:themeColor="text1"/>
          <w:sz w:val="24"/>
          <w:szCs w:val="24"/>
        </w:rPr>
        <w:t xml:space="preserve"> Division</w:t>
      </w:r>
    </w:p>
    <w:p w14:paraId="412B2FDA" w14:textId="77777777" w:rsidR="000570CA" w:rsidRPr="0040075B" w:rsidRDefault="000570CA" w:rsidP="0010716A">
      <w:pPr>
        <w:rPr>
          <w:rStyle w:val="Strong"/>
          <w:rFonts w:ascii="Times New Roman" w:eastAsiaTheme="majorEastAsia" w:hAnsi="Times New Roman" w:cs="Times New Roman"/>
          <w:sz w:val="24"/>
          <w:szCs w:val="24"/>
        </w:rPr>
      </w:pPr>
    </w:p>
    <w:p w14:paraId="30D799D6" w14:textId="49BF0B7E" w:rsidR="0010716A" w:rsidRPr="00041EA5" w:rsidRDefault="0010716A" w:rsidP="0010716A">
      <w:pPr>
        <w:rPr>
          <w:rFonts w:ascii="Times New Roman" w:hAnsi="Times New Roman" w:cs="Times New Roman"/>
          <w:color w:val="000000" w:themeColor="text1"/>
          <w:sz w:val="24"/>
          <w:szCs w:val="24"/>
        </w:rPr>
      </w:pPr>
      <w:r w:rsidRPr="00041EA5">
        <w:rPr>
          <w:rStyle w:val="Strong"/>
          <w:rFonts w:ascii="Times New Roman" w:eastAsiaTheme="majorEastAsia" w:hAnsi="Times New Roman" w:cs="Times New Roman"/>
          <w:color w:val="000000" w:themeColor="text1"/>
          <w:sz w:val="24"/>
          <w:szCs w:val="24"/>
        </w:rPr>
        <w:t>From:</w:t>
      </w:r>
      <w:r w:rsidRPr="00041EA5">
        <w:rPr>
          <w:rStyle w:val="Strong"/>
          <w:rFonts w:ascii="Times New Roman" w:eastAsiaTheme="majorEastAsia" w:hAnsi="Times New Roman" w:cs="Times New Roman"/>
          <w:color w:val="000000" w:themeColor="text1"/>
          <w:sz w:val="24"/>
          <w:szCs w:val="24"/>
        </w:rPr>
        <w:tab/>
      </w:r>
      <w:r w:rsidR="0040075B" w:rsidRPr="00041EA5">
        <w:rPr>
          <w:rStyle w:val="Strong"/>
          <w:rFonts w:ascii="Times New Roman" w:eastAsiaTheme="majorEastAsia" w:hAnsi="Times New Roman" w:cs="Times New Roman"/>
          <w:color w:val="000000" w:themeColor="text1"/>
          <w:sz w:val="24"/>
          <w:szCs w:val="24"/>
        </w:rPr>
        <w:tab/>
      </w:r>
      <w:r w:rsidR="008F48F6">
        <w:rPr>
          <w:rStyle w:val="Strong"/>
          <w:rFonts w:ascii="Times New Roman" w:eastAsiaTheme="majorEastAsia" w:hAnsi="Times New Roman" w:cs="Times New Roman"/>
          <w:b w:val="0"/>
          <w:color w:val="000000" w:themeColor="text1"/>
          <w:sz w:val="24"/>
          <w:szCs w:val="24"/>
        </w:rPr>
        <w:t>Spencer English</w:t>
      </w:r>
      <w:r w:rsidR="00C91B8B" w:rsidRPr="00041EA5">
        <w:rPr>
          <w:rStyle w:val="Strong"/>
          <w:rFonts w:ascii="Times New Roman" w:eastAsiaTheme="majorEastAsia" w:hAnsi="Times New Roman" w:cs="Times New Roman"/>
          <w:b w:val="0"/>
          <w:color w:val="000000" w:themeColor="text1"/>
          <w:sz w:val="24"/>
          <w:szCs w:val="24"/>
        </w:rPr>
        <w:t>, Financial Analyst</w:t>
      </w:r>
    </w:p>
    <w:p w14:paraId="5A3576D7" w14:textId="619B0228" w:rsidR="0010716A" w:rsidRPr="00041EA5" w:rsidRDefault="00A0641D" w:rsidP="0010716A">
      <w:pPr>
        <w:ind w:left="720" w:firstLine="720"/>
        <w:rPr>
          <w:rFonts w:ascii="Times New Roman" w:hAnsi="Times New Roman" w:cs="Times New Roman"/>
          <w:color w:val="000000" w:themeColor="text1"/>
          <w:sz w:val="24"/>
          <w:szCs w:val="24"/>
        </w:rPr>
      </w:pPr>
      <w:r w:rsidRPr="00041EA5">
        <w:rPr>
          <w:rFonts w:ascii="Times New Roman" w:hAnsi="Times New Roman" w:cs="Times New Roman"/>
          <w:color w:val="000000" w:themeColor="text1"/>
          <w:sz w:val="24"/>
          <w:szCs w:val="24"/>
        </w:rPr>
        <w:t>Rate</w:t>
      </w:r>
      <w:r w:rsidR="0040075B" w:rsidRPr="00041EA5">
        <w:rPr>
          <w:rFonts w:ascii="Times New Roman" w:hAnsi="Times New Roman" w:cs="Times New Roman"/>
          <w:color w:val="000000" w:themeColor="text1"/>
          <w:sz w:val="24"/>
          <w:szCs w:val="24"/>
        </w:rPr>
        <w:t xml:space="preserve"> Regulation</w:t>
      </w:r>
      <w:r w:rsidRPr="00041EA5">
        <w:rPr>
          <w:rFonts w:ascii="Times New Roman" w:hAnsi="Times New Roman" w:cs="Times New Roman"/>
          <w:color w:val="000000" w:themeColor="text1"/>
          <w:sz w:val="24"/>
          <w:szCs w:val="24"/>
        </w:rPr>
        <w:t xml:space="preserve"> Division</w:t>
      </w:r>
    </w:p>
    <w:p w14:paraId="501CF69D" w14:textId="77777777" w:rsidR="0010716A" w:rsidRPr="0040075B" w:rsidRDefault="0010716A" w:rsidP="0010716A">
      <w:pPr>
        <w:ind w:left="720" w:firstLine="720"/>
        <w:rPr>
          <w:rFonts w:ascii="Times New Roman" w:hAnsi="Times New Roman" w:cs="Times New Roman"/>
          <w:sz w:val="24"/>
          <w:szCs w:val="24"/>
        </w:rPr>
      </w:pPr>
    </w:p>
    <w:p w14:paraId="4430DD60" w14:textId="79431CAB" w:rsidR="00B85739" w:rsidRPr="002E0771" w:rsidRDefault="0010716A" w:rsidP="00B137BB">
      <w:pPr>
        <w:pBdr>
          <w:bottom w:val="single" w:sz="4" w:space="1" w:color="auto"/>
        </w:pBdr>
        <w:ind w:left="1440" w:hanging="1440"/>
        <w:rPr>
          <w:rFonts w:ascii="Times New Roman" w:hAnsi="Times New Roman" w:cs="Times New Roman"/>
          <w:i/>
          <w:color w:val="000000" w:themeColor="text1"/>
          <w:sz w:val="24"/>
          <w:szCs w:val="24"/>
        </w:rPr>
      </w:pPr>
      <w:bookmarkStart w:id="0" w:name="_Hlk26168264"/>
      <w:r w:rsidRPr="0040075B">
        <w:rPr>
          <w:rStyle w:val="Strong"/>
          <w:rFonts w:ascii="Times New Roman" w:eastAsiaTheme="majorEastAsia" w:hAnsi="Times New Roman" w:cs="Times New Roman"/>
          <w:sz w:val="24"/>
          <w:szCs w:val="24"/>
        </w:rPr>
        <w:t>Subject</w:t>
      </w:r>
      <w:r w:rsidRPr="002E0771">
        <w:rPr>
          <w:rStyle w:val="Strong"/>
          <w:rFonts w:ascii="Times New Roman" w:eastAsiaTheme="majorEastAsia" w:hAnsi="Times New Roman" w:cs="Times New Roman"/>
          <w:color w:val="000000" w:themeColor="text1"/>
          <w:sz w:val="24"/>
          <w:szCs w:val="24"/>
        </w:rPr>
        <w:t xml:space="preserve">:  </w:t>
      </w:r>
      <w:r w:rsidRPr="002E0771">
        <w:rPr>
          <w:rStyle w:val="Strong"/>
          <w:rFonts w:ascii="Times New Roman" w:eastAsiaTheme="majorEastAsia" w:hAnsi="Times New Roman" w:cs="Times New Roman"/>
          <w:color w:val="000000" w:themeColor="text1"/>
          <w:sz w:val="24"/>
          <w:szCs w:val="24"/>
        </w:rPr>
        <w:tab/>
      </w:r>
      <w:r w:rsidR="00875612" w:rsidRPr="002E0771">
        <w:rPr>
          <w:rFonts w:ascii="Times New Roman" w:hAnsi="Times New Roman" w:cs="Times New Roman"/>
          <w:b/>
          <w:color w:val="000000" w:themeColor="text1"/>
          <w:sz w:val="24"/>
          <w:szCs w:val="24"/>
        </w:rPr>
        <w:t xml:space="preserve">Docket </w:t>
      </w:r>
      <w:bookmarkEnd w:id="0"/>
      <w:r w:rsidR="00C42818" w:rsidRPr="002E0771">
        <w:rPr>
          <w:rFonts w:ascii="Times New Roman" w:hAnsi="Times New Roman" w:cs="Times New Roman"/>
          <w:b/>
          <w:color w:val="000000" w:themeColor="text1"/>
          <w:sz w:val="24"/>
          <w:szCs w:val="24"/>
        </w:rPr>
        <w:t>N</w:t>
      </w:r>
      <w:r w:rsidR="002E0771" w:rsidRPr="002E0771">
        <w:rPr>
          <w:rFonts w:ascii="Times New Roman" w:hAnsi="Times New Roman" w:cs="Times New Roman"/>
          <w:b/>
          <w:color w:val="000000" w:themeColor="text1"/>
          <w:sz w:val="24"/>
          <w:szCs w:val="24"/>
        </w:rPr>
        <w:t>o. 50</w:t>
      </w:r>
      <w:r w:rsidR="008265C4">
        <w:rPr>
          <w:rFonts w:ascii="Times New Roman" w:hAnsi="Times New Roman" w:cs="Times New Roman"/>
          <w:b/>
          <w:color w:val="000000" w:themeColor="text1"/>
          <w:sz w:val="24"/>
          <w:szCs w:val="24"/>
        </w:rPr>
        <w:t>3</w:t>
      </w:r>
      <w:r w:rsidR="00A11D4C">
        <w:rPr>
          <w:rFonts w:ascii="Times New Roman" w:hAnsi="Times New Roman" w:cs="Times New Roman"/>
          <w:b/>
          <w:color w:val="000000" w:themeColor="text1"/>
          <w:sz w:val="24"/>
          <w:szCs w:val="24"/>
        </w:rPr>
        <w:t>25</w:t>
      </w:r>
      <w:r w:rsidR="0024080E" w:rsidRPr="002E0771">
        <w:rPr>
          <w:rFonts w:ascii="Times New Roman" w:hAnsi="Times New Roman" w:cs="Times New Roman"/>
          <w:color w:val="000000" w:themeColor="text1"/>
          <w:sz w:val="24"/>
          <w:szCs w:val="24"/>
        </w:rPr>
        <w:t>,</w:t>
      </w:r>
      <w:r w:rsidR="000A4AD2" w:rsidRPr="002E0771">
        <w:rPr>
          <w:rFonts w:ascii="Times New Roman" w:hAnsi="Times New Roman" w:cs="Times New Roman"/>
          <w:color w:val="000000" w:themeColor="text1"/>
          <w:sz w:val="24"/>
          <w:szCs w:val="24"/>
        </w:rPr>
        <w:t xml:space="preserve"> </w:t>
      </w:r>
      <w:r w:rsidR="008265C4" w:rsidRPr="008265C4">
        <w:rPr>
          <w:rFonts w:ascii="Times New Roman" w:hAnsi="Times New Roman" w:cs="Times New Roman"/>
          <w:i/>
          <w:color w:val="000000" w:themeColor="text1"/>
          <w:sz w:val="24"/>
          <w:szCs w:val="24"/>
        </w:rPr>
        <w:t xml:space="preserve">Application of </w:t>
      </w:r>
      <w:r w:rsidR="004627AB">
        <w:rPr>
          <w:rFonts w:ascii="Times New Roman" w:hAnsi="Times New Roman" w:cs="Times New Roman"/>
          <w:i/>
          <w:color w:val="000000" w:themeColor="text1"/>
          <w:sz w:val="24"/>
          <w:szCs w:val="24"/>
        </w:rPr>
        <w:t>Gristmill Utility Company, LLC to Obtain a Sewer Certificate of Convenience and Necessity in Hays County</w:t>
      </w:r>
    </w:p>
    <w:p w14:paraId="19B3B462" w14:textId="1E1BCE59" w:rsidR="00E97F80" w:rsidRDefault="00E97F80" w:rsidP="00B137BB">
      <w:pPr>
        <w:pBdr>
          <w:bottom w:val="single" w:sz="4" w:space="1" w:color="auto"/>
        </w:pBdr>
        <w:ind w:left="1440" w:hanging="1440"/>
        <w:rPr>
          <w:rFonts w:ascii="Times New Roman" w:hAnsi="Times New Roman" w:cs="Times New Roman"/>
          <w:i/>
          <w:color w:val="548DD4" w:themeColor="text2" w:themeTint="99"/>
          <w:sz w:val="24"/>
          <w:szCs w:val="24"/>
        </w:rPr>
      </w:pPr>
    </w:p>
    <w:p w14:paraId="2BC7EF65" w14:textId="42FD3E46" w:rsidR="00E97F80" w:rsidRPr="002E0771" w:rsidRDefault="00E97F80" w:rsidP="00B137BB">
      <w:pPr>
        <w:pBdr>
          <w:bottom w:val="single" w:sz="4" w:space="1" w:color="auto"/>
        </w:pBdr>
        <w:ind w:left="1440" w:hanging="1440"/>
        <w:rPr>
          <w:rFonts w:ascii="Times New Roman" w:hAnsi="Times New Roman" w:cs="Times New Roman"/>
          <w:i/>
          <w:color w:val="000000" w:themeColor="text1"/>
          <w:sz w:val="24"/>
          <w:szCs w:val="24"/>
        </w:rPr>
      </w:pPr>
      <w:r>
        <w:rPr>
          <w:rStyle w:val="Strong"/>
          <w:rFonts w:ascii="Times New Roman" w:eastAsiaTheme="majorEastAsia" w:hAnsi="Times New Roman" w:cs="Times New Roman"/>
          <w:sz w:val="24"/>
          <w:szCs w:val="24"/>
        </w:rPr>
        <w:t>Date</w:t>
      </w:r>
      <w:r w:rsidRPr="0040075B">
        <w:rPr>
          <w:rStyle w:val="Strong"/>
          <w:rFonts w:ascii="Times New Roman" w:eastAsiaTheme="majorEastAsia" w:hAnsi="Times New Roman" w:cs="Times New Roman"/>
          <w:sz w:val="24"/>
          <w:szCs w:val="24"/>
        </w:rPr>
        <w:t xml:space="preserve">:  </w:t>
      </w:r>
      <w:r w:rsidRPr="0040075B">
        <w:rPr>
          <w:rStyle w:val="Strong"/>
          <w:rFonts w:ascii="Times New Roman" w:eastAsiaTheme="majorEastAsia" w:hAnsi="Times New Roman" w:cs="Times New Roman"/>
          <w:sz w:val="24"/>
          <w:szCs w:val="24"/>
        </w:rPr>
        <w:tab/>
      </w:r>
      <w:r w:rsidR="004627AB">
        <w:rPr>
          <w:rFonts w:ascii="Times New Roman" w:hAnsi="Times New Roman" w:cs="Times New Roman"/>
          <w:color w:val="000000" w:themeColor="text1"/>
          <w:sz w:val="24"/>
          <w:szCs w:val="24"/>
        </w:rPr>
        <w:t>February 2</w:t>
      </w:r>
      <w:r w:rsidR="00150759">
        <w:rPr>
          <w:rFonts w:ascii="Times New Roman" w:hAnsi="Times New Roman" w:cs="Times New Roman"/>
          <w:color w:val="000000" w:themeColor="text1"/>
          <w:sz w:val="24"/>
          <w:szCs w:val="24"/>
        </w:rPr>
        <w:t>6</w:t>
      </w:r>
      <w:r w:rsidR="002E0771" w:rsidRPr="002E0771">
        <w:rPr>
          <w:rFonts w:ascii="Times New Roman" w:hAnsi="Times New Roman" w:cs="Times New Roman"/>
          <w:color w:val="000000" w:themeColor="text1"/>
          <w:sz w:val="24"/>
          <w:szCs w:val="24"/>
        </w:rPr>
        <w:t>, 202</w:t>
      </w:r>
      <w:r w:rsidR="004627AB">
        <w:rPr>
          <w:rFonts w:ascii="Times New Roman" w:hAnsi="Times New Roman" w:cs="Times New Roman"/>
          <w:color w:val="000000" w:themeColor="text1"/>
          <w:sz w:val="24"/>
          <w:szCs w:val="24"/>
        </w:rPr>
        <w:t>1</w:t>
      </w:r>
    </w:p>
    <w:p w14:paraId="21A9881D" w14:textId="77777777" w:rsidR="00B137BB" w:rsidRDefault="00B137BB" w:rsidP="00B137BB">
      <w:pPr>
        <w:pBdr>
          <w:bottom w:val="single" w:sz="4" w:space="1" w:color="auto"/>
        </w:pBdr>
        <w:ind w:left="1440" w:hanging="1440"/>
        <w:rPr>
          <w:rFonts w:ascii="Times New Roman" w:hAnsi="Times New Roman" w:cs="Times New Roman"/>
          <w:sz w:val="24"/>
          <w:szCs w:val="24"/>
        </w:rPr>
      </w:pPr>
    </w:p>
    <w:p w14:paraId="7FD78B03" w14:textId="77777777" w:rsidR="00B137BB" w:rsidRPr="0040075B" w:rsidRDefault="00B137BB" w:rsidP="00B137BB">
      <w:pPr>
        <w:pBdr>
          <w:bottom w:val="single" w:sz="4" w:space="1" w:color="auto"/>
        </w:pBdr>
        <w:ind w:left="1440" w:hanging="1440"/>
        <w:rPr>
          <w:rFonts w:ascii="Times New Roman" w:hAnsi="Times New Roman" w:cs="Times New Roman"/>
          <w:sz w:val="24"/>
          <w:szCs w:val="24"/>
        </w:rPr>
      </w:pPr>
    </w:p>
    <w:p w14:paraId="0AFCE110" w14:textId="77777777" w:rsidR="009A08B5" w:rsidRDefault="009A08B5" w:rsidP="0010716A">
      <w:pPr>
        <w:ind w:left="1440" w:hanging="1440"/>
        <w:rPr>
          <w:rFonts w:ascii="Times New Roman" w:hAnsi="Times New Roman" w:cs="Times New Roman"/>
          <w:sz w:val="24"/>
          <w:szCs w:val="24"/>
        </w:rPr>
      </w:pPr>
    </w:p>
    <w:p w14:paraId="2252D6BD" w14:textId="19E51DC6" w:rsidR="0010716A" w:rsidRPr="00F823B9" w:rsidRDefault="00B85739" w:rsidP="00181110">
      <w:pPr>
        <w:pStyle w:val="BodyText"/>
        <w:spacing w:after="0"/>
        <w:jc w:val="both"/>
        <w:rPr>
          <w:rFonts w:ascii="Times New Roman" w:hAnsi="Times New Roman" w:cs="Times New Roman"/>
          <w:color w:val="000000" w:themeColor="text1"/>
        </w:rPr>
      </w:pPr>
      <w:r w:rsidRPr="00F823B9">
        <w:rPr>
          <w:rFonts w:ascii="Times New Roman" w:hAnsi="Times New Roman" w:cs="Times New Roman"/>
          <w:color w:val="000000" w:themeColor="text1"/>
        </w:rPr>
        <w:t>I</w:t>
      </w:r>
      <w:r w:rsidR="00CF4896">
        <w:rPr>
          <w:rFonts w:ascii="Times New Roman" w:hAnsi="Times New Roman" w:cs="Times New Roman"/>
          <w:color w:val="000000" w:themeColor="text1"/>
        </w:rPr>
        <w:t xml:space="preserve"> recommend that</w:t>
      </w:r>
      <w:r w:rsidR="00CA3593" w:rsidRPr="00F823B9">
        <w:rPr>
          <w:rFonts w:ascii="Times New Roman" w:hAnsi="Times New Roman" w:cs="Times New Roman"/>
          <w:color w:val="000000" w:themeColor="text1"/>
        </w:rPr>
        <w:t xml:space="preserve"> </w:t>
      </w:r>
      <w:r w:rsidR="004627AB">
        <w:rPr>
          <w:rFonts w:ascii="Times New Roman" w:hAnsi="Times New Roman" w:cs="Times New Roman"/>
          <w:color w:val="000000" w:themeColor="text1"/>
        </w:rPr>
        <w:t>Gristmill Utility Company, LLC</w:t>
      </w:r>
      <w:r w:rsidR="00F823B9" w:rsidRPr="00F823B9">
        <w:rPr>
          <w:rFonts w:ascii="Times New Roman" w:hAnsi="Times New Roman" w:cs="Times New Roman"/>
          <w:color w:val="000000" w:themeColor="text1"/>
        </w:rPr>
        <w:t xml:space="preserve"> (</w:t>
      </w:r>
      <w:r w:rsidR="003C42DE">
        <w:rPr>
          <w:rFonts w:ascii="Times New Roman" w:hAnsi="Times New Roman" w:cs="Times New Roman"/>
          <w:color w:val="000000" w:themeColor="text1"/>
        </w:rPr>
        <w:t>Applicant</w:t>
      </w:r>
      <w:r w:rsidR="006176EA">
        <w:rPr>
          <w:rFonts w:ascii="Times New Roman" w:hAnsi="Times New Roman" w:cs="Times New Roman"/>
          <w:color w:val="000000" w:themeColor="text1"/>
        </w:rPr>
        <w:t xml:space="preserve"> or </w:t>
      </w:r>
      <w:r w:rsidR="004627AB">
        <w:rPr>
          <w:rFonts w:ascii="Times New Roman" w:hAnsi="Times New Roman" w:cs="Times New Roman"/>
          <w:color w:val="000000" w:themeColor="text1"/>
        </w:rPr>
        <w:t>Gristmill</w:t>
      </w:r>
      <w:r w:rsidR="000F5A2D" w:rsidRPr="00F823B9">
        <w:rPr>
          <w:rFonts w:ascii="Times New Roman" w:hAnsi="Times New Roman" w:cs="Times New Roman"/>
          <w:color w:val="000000" w:themeColor="text1"/>
        </w:rPr>
        <w:t xml:space="preserve">) </w:t>
      </w:r>
      <w:r w:rsidR="0010716A" w:rsidRPr="00F823B9">
        <w:rPr>
          <w:rFonts w:ascii="Times New Roman" w:hAnsi="Times New Roman" w:cs="Times New Roman"/>
          <w:color w:val="000000" w:themeColor="text1"/>
        </w:rPr>
        <w:t>has demonstrated adequate</w:t>
      </w:r>
      <w:r w:rsidRPr="00F823B9">
        <w:rPr>
          <w:rFonts w:ascii="Times New Roman" w:hAnsi="Times New Roman" w:cs="Times New Roman"/>
          <w:color w:val="000000" w:themeColor="text1"/>
        </w:rPr>
        <w:t xml:space="preserve"> financial </w:t>
      </w:r>
      <w:r w:rsidR="005A559A" w:rsidRPr="00F823B9">
        <w:rPr>
          <w:rFonts w:ascii="Times New Roman" w:hAnsi="Times New Roman" w:cs="Times New Roman"/>
          <w:color w:val="000000" w:themeColor="text1"/>
        </w:rPr>
        <w:t xml:space="preserve">and managerial </w:t>
      </w:r>
      <w:r w:rsidR="0010716A" w:rsidRPr="00F823B9">
        <w:rPr>
          <w:rFonts w:ascii="Times New Roman" w:hAnsi="Times New Roman" w:cs="Times New Roman"/>
          <w:color w:val="000000" w:themeColor="text1"/>
        </w:rPr>
        <w:t>capability to provide</w:t>
      </w:r>
      <w:r w:rsidR="001D383F" w:rsidRPr="00F823B9">
        <w:rPr>
          <w:rFonts w:ascii="Times New Roman" w:hAnsi="Times New Roman" w:cs="Times New Roman"/>
          <w:color w:val="000000" w:themeColor="text1"/>
        </w:rPr>
        <w:t xml:space="preserve"> continuous and adequate</w:t>
      </w:r>
      <w:r w:rsidR="0010716A" w:rsidRPr="00F823B9">
        <w:rPr>
          <w:rFonts w:ascii="Times New Roman" w:hAnsi="Times New Roman" w:cs="Times New Roman"/>
          <w:color w:val="000000" w:themeColor="text1"/>
        </w:rPr>
        <w:t xml:space="preserve"> service to the area subject to this application.  These conclusions are based on information provided by the applicant prior to this date and may not reflect any changes in the </w:t>
      </w:r>
      <w:r w:rsidR="003C42DE">
        <w:rPr>
          <w:rFonts w:ascii="Times New Roman" w:hAnsi="Times New Roman" w:cs="Times New Roman"/>
          <w:color w:val="000000" w:themeColor="text1"/>
        </w:rPr>
        <w:t>Applicant</w:t>
      </w:r>
      <w:r w:rsidR="0010716A" w:rsidRPr="00F823B9">
        <w:rPr>
          <w:rFonts w:ascii="Times New Roman" w:hAnsi="Times New Roman" w:cs="Times New Roman"/>
          <w:color w:val="000000" w:themeColor="text1"/>
        </w:rPr>
        <w:t xml:space="preserve">’s status subsequent to this review. </w:t>
      </w:r>
    </w:p>
    <w:p w14:paraId="5F04E5C7" w14:textId="77777777" w:rsidR="00073089" w:rsidRPr="0040075B" w:rsidRDefault="00073089" w:rsidP="00181110">
      <w:pPr>
        <w:pStyle w:val="BodyText"/>
        <w:spacing w:after="0"/>
        <w:jc w:val="both"/>
        <w:rPr>
          <w:rFonts w:ascii="Times New Roman" w:hAnsi="Times New Roman" w:cs="Times New Roman"/>
        </w:rPr>
      </w:pPr>
    </w:p>
    <w:p w14:paraId="59EFEA51" w14:textId="77777777" w:rsidR="00985E69" w:rsidRPr="00313C29" w:rsidRDefault="0090218B" w:rsidP="0090218B">
      <w:pPr>
        <w:jc w:val="both"/>
        <w:rPr>
          <w:rFonts w:ascii="Times New Roman" w:hAnsi="Times New Roman" w:cs="Times New Roman"/>
          <w:sz w:val="24"/>
          <w:szCs w:val="24"/>
          <w:u w:val="single"/>
        </w:rPr>
      </w:pPr>
      <w:r w:rsidRPr="00313C29">
        <w:rPr>
          <w:rFonts w:ascii="Times New Roman" w:hAnsi="Times New Roman" w:cs="Times New Roman"/>
          <w:sz w:val="24"/>
          <w:szCs w:val="24"/>
          <w:u w:val="single"/>
        </w:rPr>
        <w:t>Financial Test</w:t>
      </w:r>
    </w:p>
    <w:p w14:paraId="63FD1C43" w14:textId="786B8DA8" w:rsidR="00B137BB" w:rsidRPr="00B137BB" w:rsidRDefault="001B5056" w:rsidP="00D51C27">
      <w:pPr>
        <w:pStyle w:val="BodyText"/>
        <w:spacing w:after="0"/>
        <w:jc w:val="both"/>
        <w:rPr>
          <w:rFonts w:ascii="Times New Roman" w:hAnsi="Times New Roman" w:cs="Times New Roman"/>
        </w:rPr>
      </w:pPr>
      <w:r w:rsidRPr="00A72CB7">
        <w:rPr>
          <w:rFonts w:ascii="Times New Roman" w:hAnsi="Times New Roman" w:cs="Times New Roman"/>
          <w:b/>
          <w:i/>
        </w:rPr>
        <w:t xml:space="preserve">TWC </w:t>
      </w:r>
      <w:r w:rsidR="0090218B" w:rsidRPr="00A72CB7">
        <w:rPr>
          <w:rFonts w:ascii="Times New Roman" w:hAnsi="Times New Roman" w:cs="Times New Roman"/>
          <w:b/>
          <w:i/>
        </w:rPr>
        <w:t>§ 13.246(c)(6</w:t>
      </w:r>
      <w:r w:rsidR="0090218B" w:rsidRPr="00B137BB">
        <w:rPr>
          <w:rFonts w:ascii="Times New Roman" w:hAnsi="Times New Roman" w:cs="Times New Roman"/>
        </w:rPr>
        <w:t xml:space="preserve">) </w:t>
      </w:r>
      <w:r w:rsidR="00B27142" w:rsidRPr="00B137BB">
        <w:rPr>
          <w:rFonts w:ascii="Times New Roman" w:hAnsi="Times New Roman" w:cs="Times New Roman"/>
          <w:b/>
          <w:i/>
        </w:rPr>
        <w:t xml:space="preserve">requires the </w:t>
      </w:r>
      <w:r w:rsidR="00D51C27" w:rsidRPr="00B137BB">
        <w:rPr>
          <w:rFonts w:ascii="Times New Roman" w:hAnsi="Times New Roman" w:cs="Times New Roman"/>
          <w:b/>
          <w:i/>
        </w:rPr>
        <w:t>Commission</w:t>
      </w:r>
      <w:r w:rsidR="00B27142" w:rsidRPr="00B137BB">
        <w:rPr>
          <w:rFonts w:ascii="Times New Roman" w:hAnsi="Times New Roman" w:cs="Times New Roman"/>
          <w:b/>
          <w:i/>
        </w:rPr>
        <w:t xml:space="preserve"> </w:t>
      </w:r>
      <w:r w:rsidR="00CD1087" w:rsidRPr="00B137BB">
        <w:rPr>
          <w:rFonts w:ascii="Times New Roman" w:hAnsi="Times New Roman" w:cs="Times New Roman"/>
          <w:b/>
          <w:i/>
        </w:rPr>
        <w:t xml:space="preserve">to </w:t>
      </w:r>
      <w:r w:rsidR="0090218B" w:rsidRPr="00B137BB">
        <w:rPr>
          <w:rFonts w:ascii="Times New Roman" w:hAnsi="Times New Roman" w:cs="Times New Roman"/>
          <w:b/>
          <w:i/>
        </w:rPr>
        <w:t xml:space="preserve">consider the financial ability of </w:t>
      </w:r>
      <w:r w:rsidR="00DA6F1E" w:rsidRPr="00B137BB">
        <w:rPr>
          <w:rFonts w:ascii="Times New Roman" w:hAnsi="Times New Roman" w:cs="Times New Roman"/>
          <w:b/>
          <w:i/>
        </w:rPr>
        <w:t>an</w:t>
      </w:r>
      <w:r w:rsidR="0090218B" w:rsidRPr="00B137BB">
        <w:rPr>
          <w:rFonts w:ascii="Times New Roman" w:hAnsi="Times New Roman" w:cs="Times New Roman"/>
          <w:b/>
          <w:i/>
        </w:rPr>
        <w:t xml:space="preserve"> applicant to pay for facilities necessary to provide continuous and adequate service</w:t>
      </w:r>
      <w:r w:rsidR="004C3B1C">
        <w:rPr>
          <w:rFonts w:ascii="Times New Roman" w:hAnsi="Times New Roman" w:cs="Times New Roman"/>
          <w:b/>
          <w:i/>
        </w:rPr>
        <w:t xml:space="preserve"> </w:t>
      </w:r>
      <w:r w:rsidR="004C3B1C" w:rsidRPr="004C3B1C">
        <w:rPr>
          <w:rFonts w:ascii="Times New Roman" w:hAnsi="Times New Roman" w:cs="Times New Roman"/>
          <w:b/>
          <w:i/>
        </w:rPr>
        <w:t>and the financial stability of the applicant</w:t>
      </w:r>
      <w:r w:rsidR="000537E5" w:rsidRPr="00B137BB">
        <w:rPr>
          <w:rFonts w:ascii="Times New Roman" w:hAnsi="Times New Roman" w:cs="Times New Roman"/>
          <w:b/>
          <w:i/>
        </w:rPr>
        <w:t>.</w:t>
      </w:r>
    </w:p>
    <w:p w14:paraId="00321354" w14:textId="77777777" w:rsidR="00B137BB" w:rsidRDefault="00B137BB" w:rsidP="00D51C27">
      <w:pPr>
        <w:pStyle w:val="BodyText"/>
        <w:spacing w:after="0"/>
        <w:jc w:val="both"/>
        <w:rPr>
          <w:rFonts w:ascii="Times New Roman" w:hAnsi="Times New Roman" w:cs="Times New Roman"/>
        </w:rPr>
      </w:pPr>
    </w:p>
    <w:p w14:paraId="02F49668" w14:textId="05B3E26A" w:rsidR="00B137BB" w:rsidRPr="00413FD2" w:rsidRDefault="00B137BB" w:rsidP="003C42DE">
      <w:pPr>
        <w:pStyle w:val="BodyText"/>
        <w:jc w:val="both"/>
        <w:rPr>
          <w:rFonts w:ascii="Times New Roman" w:eastAsia="Times New Roman" w:hAnsi="Times New Roman" w:cs="Times New Roman"/>
        </w:rPr>
      </w:pPr>
      <w:r w:rsidRPr="00413FD2">
        <w:rPr>
          <w:rFonts w:ascii="Times New Roman" w:eastAsia="Times New Roman" w:hAnsi="Times New Roman" w:cs="Times New Roman"/>
        </w:rPr>
        <w:t>16 TAC § 24.11 establishes the criteria to demonstrate that an owner or operator of a retail public utility has the financial resources to operate and manage the utility and to provide continuous and adequate service to the current and requested utility service area. The financial tests include a leverage test and operations test. The Commission rules identify five leverage tests.</w:t>
      </w:r>
      <w:r w:rsidRPr="00413FD2">
        <w:rPr>
          <w:rFonts w:ascii="Times New Roman" w:eastAsia="Times New Roman" w:hAnsi="Times New Roman" w:cs="Times New Roman"/>
          <w:vertAlign w:val="superscript"/>
        </w:rPr>
        <w:footnoteReference w:id="1"/>
      </w:r>
      <w:r w:rsidRPr="00413FD2">
        <w:rPr>
          <w:rFonts w:ascii="Times New Roman" w:eastAsia="Times New Roman" w:hAnsi="Times New Roman" w:cs="Times New Roman"/>
        </w:rPr>
        <w:t xml:space="preserve"> The </w:t>
      </w:r>
      <w:r w:rsidR="001577C3">
        <w:rPr>
          <w:rFonts w:ascii="Times New Roman" w:eastAsia="Times New Roman" w:hAnsi="Times New Roman" w:cs="Times New Roman"/>
        </w:rPr>
        <w:t>owner or operator (</w:t>
      </w:r>
      <w:r w:rsidR="003C42DE">
        <w:rPr>
          <w:rFonts w:ascii="Times New Roman" w:eastAsia="Times New Roman" w:hAnsi="Times New Roman" w:cs="Times New Roman"/>
        </w:rPr>
        <w:t>Applicant</w:t>
      </w:r>
      <w:r w:rsidR="001577C3">
        <w:rPr>
          <w:rFonts w:ascii="Times New Roman" w:eastAsia="Times New Roman" w:hAnsi="Times New Roman" w:cs="Times New Roman"/>
        </w:rPr>
        <w:t>)</w:t>
      </w:r>
      <w:r w:rsidRPr="00413FD2">
        <w:rPr>
          <w:rFonts w:ascii="Times New Roman" w:eastAsia="Times New Roman" w:hAnsi="Times New Roman" w:cs="Times New Roman"/>
        </w:rPr>
        <w:t xml:space="preserve"> must demonstrate that it meets one of the five tests.</w:t>
      </w:r>
      <w:r w:rsidRPr="00413FD2">
        <w:rPr>
          <w:rFonts w:ascii="Times New Roman" w:eastAsia="Times New Roman" w:hAnsi="Times New Roman" w:cs="Times New Roman"/>
          <w:vertAlign w:val="superscript"/>
        </w:rPr>
        <w:footnoteReference w:id="2"/>
      </w:r>
      <w:r w:rsidR="003C42DE">
        <w:rPr>
          <w:rFonts w:ascii="Times New Roman" w:eastAsia="Times New Roman" w:hAnsi="Times New Roman" w:cs="Times New Roman"/>
        </w:rPr>
        <w:t xml:space="preserve"> </w:t>
      </w:r>
      <w:r w:rsidR="003C42DE" w:rsidRPr="00C75A97">
        <w:rPr>
          <w:rFonts w:ascii="Times New Roman" w:eastAsia="Times New Roman" w:hAnsi="Times New Roman" w:cs="Times New Roman"/>
        </w:rPr>
        <w:t xml:space="preserve">The </w:t>
      </w:r>
      <w:r w:rsidR="003C42DE">
        <w:rPr>
          <w:rFonts w:ascii="Times New Roman" w:eastAsia="Times New Roman" w:hAnsi="Times New Roman" w:cs="Times New Roman"/>
        </w:rPr>
        <w:t>Applicant</w:t>
      </w:r>
      <w:r w:rsidR="003C42DE" w:rsidRPr="00C75A97">
        <w:rPr>
          <w:rFonts w:ascii="Times New Roman" w:eastAsia="Times New Roman" w:hAnsi="Times New Roman" w:cs="Times New Roman"/>
        </w:rPr>
        <w:t xml:space="preserve"> meets </w:t>
      </w:r>
      <w:r w:rsidR="003C42DE">
        <w:rPr>
          <w:rFonts w:ascii="Times New Roman" w:eastAsia="Times New Roman" w:hAnsi="Times New Roman" w:cs="Times New Roman"/>
        </w:rPr>
        <w:t>one</w:t>
      </w:r>
      <w:r w:rsidR="003C42DE" w:rsidRPr="00C75A97">
        <w:rPr>
          <w:rFonts w:ascii="Times New Roman" w:eastAsia="Times New Roman" w:hAnsi="Times New Roman" w:cs="Times New Roman"/>
        </w:rPr>
        <w:t xml:space="preserve"> out of five leverage tests, by </w:t>
      </w:r>
      <w:r w:rsidR="003C42DE">
        <w:rPr>
          <w:rFonts w:ascii="Times New Roman" w:eastAsia="Times New Roman" w:hAnsi="Times New Roman" w:cs="Times New Roman"/>
        </w:rPr>
        <w:t xml:space="preserve">having sufficient unrestricted cash available as a cushion for two years of debt service </w:t>
      </w:r>
      <w:r w:rsidR="003C42DE" w:rsidRPr="00C75A97">
        <w:rPr>
          <w:rFonts w:ascii="Times New Roman" w:eastAsia="Times New Roman" w:hAnsi="Times New Roman" w:cs="Times New Roman"/>
        </w:rPr>
        <w:t xml:space="preserve">(Attachment </w:t>
      </w:r>
      <w:r w:rsidR="003C42DE">
        <w:rPr>
          <w:rFonts w:ascii="Times New Roman" w:eastAsia="Times New Roman" w:hAnsi="Times New Roman" w:cs="Times New Roman"/>
        </w:rPr>
        <w:t>SE</w:t>
      </w:r>
      <w:r w:rsidR="003C42DE" w:rsidRPr="00C75A97">
        <w:rPr>
          <w:rFonts w:ascii="Times New Roman" w:eastAsia="Times New Roman" w:hAnsi="Times New Roman" w:cs="Times New Roman"/>
        </w:rPr>
        <w:t>-1).</w:t>
      </w:r>
      <w:r w:rsidR="003C42DE">
        <w:rPr>
          <w:rFonts w:ascii="Times New Roman" w:eastAsia="Times New Roman" w:hAnsi="Times New Roman" w:cs="Times New Roman"/>
        </w:rPr>
        <w:t xml:space="preserve"> </w:t>
      </w:r>
      <w:r w:rsidR="008920E1">
        <w:rPr>
          <w:rFonts w:ascii="Times New Roman" w:eastAsia="Times New Roman" w:hAnsi="Times New Roman" w:cs="Times New Roman"/>
        </w:rPr>
        <w:t>My</w:t>
      </w:r>
      <w:r w:rsidR="003C42DE" w:rsidRPr="001577C3">
        <w:rPr>
          <w:rFonts w:ascii="Times New Roman" w:eastAsia="Times New Roman" w:hAnsi="Times New Roman" w:cs="Times New Roman"/>
        </w:rPr>
        <w:t xml:space="preserve"> analysis is based on</w:t>
      </w:r>
      <w:r w:rsidR="003C42DE">
        <w:rPr>
          <w:rFonts w:ascii="Times New Roman" w:eastAsia="Times New Roman" w:hAnsi="Times New Roman" w:cs="Times New Roman"/>
        </w:rPr>
        <w:t xml:space="preserve"> the Applicant’s </w:t>
      </w:r>
      <w:r w:rsidR="003C42DE" w:rsidRPr="001577C3">
        <w:rPr>
          <w:rFonts w:ascii="Times New Roman" w:eastAsia="Times New Roman" w:hAnsi="Times New Roman" w:cs="Times New Roman"/>
        </w:rPr>
        <w:t xml:space="preserve">financial statements </w:t>
      </w:r>
      <w:r w:rsidR="003C42DE">
        <w:rPr>
          <w:rFonts w:ascii="Times New Roman" w:eastAsia="Times New Roman" w:hAnsi="Times New Roman" w:cs="Times New Roman"/>
        </w:rPr>
        <w:t>as of</w:t>
      </w:r>
      <w:r w:rsidR="003C42DE" w:rsidRPr="001577C3">
        <w:rPr>
          <w:rFonts w:ascii="Times New Roman" w:eastAsia="Times New Roman" w:hAnsi="Times New Roman" w:cs="Times New Roman"/>
        </w:rPr>
        <w:t xml:space="preserve"> </w:t>
      </w:r>
      <w:r w:rsidR="003C42DE">
        <w:rPr>
          <w:rFonts w:ascii="Times New Roman" w:eastAsia="Times New Roman" w:hAnsi="Times New Roman" w:cs="Times New Roman"/>
        </w:rPr>
        <w:t>December</w:t>
      </w:r>
      <w:r w:rsidR="003C42DE" w:rsidRPr="001577C3">
        <w:rPr>
          <w:rFonts w:ascii="Times New Roman" w:eastAsia="Times New Roman" w:hAnsi="Times New Roman" w:cs="Times New Roman"/>
        </w:rPr>
        <w:t xml:space="preserve"> </w:t>
      </w:r>
      <w:r w:rsidR="003C42DE">
        <w:rPr>
          <w:rFonts w:ascii="Times New Roman" w:eastAsia="Times New Roman" w:hAnsi="Times New Roman" w:cs="Times New Roman"/>
        </w:rPr>
        <w:t>3</w:t>
      </w:r>
      <w:r w:rsidR="003C42DE" w:rsidRPr="001577C3">
        <w:rPr>
          <w:rFonts w:ascii="Times New Roman" w:eastAsia="Times New Roman" w:hAnsi="Times New Roman" w:cs="Times New Roman"/>
        </w:rPr>
        <w:t>, 20</w:t>
      </w:r>
      <w:r w:rsidR="003C42DE">
        <w:rPr>
          <w:rFonts w:ascii="Times New Roman" w:eastAsia="Times New Roman" w:hAnsi="Times New Roman" w:cs="Times New Roman"/>
        </w:rPr>
        <w:t>19</w:t>
      </w:r>
      <w:r w:rsidR="003C42DE" w:rsidRPr="001577C3">
        <w:rPr>
          <w:rFonts w:ascii="Times New Roman" w:eastAsia="Times New Roman" w:hAnsi="Times New Roman" w:cs="Times New Roman"/>
        </w:rPr>
        <w:t xml:space="preserve">. </w:t>
      </w:r>
    </w:p>
    <w:p w14:paraId="127133AD" w14:textId="77777777" w:rsidR="00B137BB" w:rsidRPr="00413FD2" w:rsidRDefault="00B137BB" w:rsidP="00B137BB">
      <w:pPr>
        <w:ind w:left="2160"/>
        <w:contextualSpacing/>
        <w:jc w:val="both"/>
        <w:rPr>
          <w:rFonts w:ascii="Times New Roman" w:eastAsia="Calibri" w:hAnsi="Times New Roman" w:cs="Times New Roman"/>
          <w:sz w:val="24"/>
          <w:szCs w:val="24"/>
          <w:highlight w:val="yellow"/>
        </w:rPr>
      </w:pPr>
    </w:p>
    <w:p w14:paraId="5B6CA085" w14:textId="1DE8DD70" w:rsidR="0079035C" w:rsidRDefault="00B137BB" w:rsidP="00B137BB">
      <w:pPr>
        <w:jc w:val="both"/>
        <w:rPr>
          <w:rFonts w:ascii="Times New Roman" w:eastAsia="Calibri" w:hAnsi="Times New Roman" w:cs="Times New Roman"/>
          <w:color w:val="000000"/>
          <w:sz w:val="24"/>
          <w:szCs w:val="24"/>
        </w:rPr>
      </w:pPr>
      <w:r w:rsidRPr="00413FD2">
        <w:rPr>
          <w:rFonts w:ascii="Times New Roman" w:eastAsia="Calibri" w:hAnsi="Times New Roman" w:cs="Times New Roman"/>
          <w:color w:val="000000"/>
          <w:sz w:val="24"/>
          <w:szCs w:val="24"/>
        </w:rPr>
        <w:t xml:space="preserve">16 TAC § 24.11(e)(3) refers to the operations test which requires that the owner or operator must demonstrate sufficient cash is </w:t>
      </w:r>
      <w:r w:rsidRPr="00C41F5E">
        <w:rPr>
          <w:rFonts w:ascii="Times New Roman" w:eastAsia="Calibri" w:hAnsi="Times New Roman" w:cs="Times New Roman"/>
          <w:color w:val="000000"/>
          <w:sz w:val="24"/>
          <w:szCs w:val="24"/>
        </w:rPr>
        <w:t>available to cover any projected operations and maintenance shortages in the first five years of operations.</w:t>
      </w:r>
      <w:r w:rsidR="006176EA" w:rsidRPr="00C41F5E">
        <w:rPr>
          <w:rFonts w:ascii="Times New Roman" w:eastAsia="Calibri" w:hAnsi="Times New Roman" w:cs="Times New Roman"/>
          <w:color w:val="000000"/>
          <w:sz w:val="24"/>
          <w:szCs w:val="24"/>
        </w:rPr>
        <w:t xml:space="preserve"> </w:t>
      </w:r>
      <w:r w:rsidR="003C42DE">
        <w:rPr>
          <w:rFonts w:ascii="Times New Roman" w:eastAsia="Calibri" w:hAnsi="Times New Roman" w:cs="Times New Roman"/>
          <w:color w:val="000000"/>
          <w:sz w:val="24"/>
          <w:szCs w:val="24"/>
        </w:rPr>
        <w:t>The Applicant</w:t>
      </w:r>
      <w:r w:rsidR="006176EA" w:rsidRPr="00C41F5E">
        <w:rPr>
          <w:rFonts w:ascii="Times New Roman" w:eastAsia="Calibri" w:hAnsi="Times New Roman" w:cs="Times New Roman"/>
          <w:color w:val="000000"/>
          <w:sz w:val="24"/>
          <w:szCs w:val="24"/>
        </w:rPr>
        <w:t xml:space="preserve"> provided</w:t>
      </w:r>
      <w:r w:rsidR="00C41F5E" w:rsidRPr="00C41F5E">
        <w:rPr>
          <w:rFonts w:ascii="Times New Roman" w:eastAsia="Calibri" w:hAnsi="Times New Roman" w:cs="Times New Roman"/>
          <w:color w:val="000000"/>
          <w:sz w:val="24"/>
          <w:szCs w:val="24"/>
        </w:rPr>
        <w:t xml:space="preserve"> projected financials </w:t>
      </w:r>
      <w:r w:rsidR="006176EA" w:rsidRPr="00C41F5E">
        <w:rPr>
          <w:rFonts w:ascii="Times New Roman" w:eastAsia="Calibri" w:hAnsi="Times New Roman" w:cs="Times New Roman"/>
          <w:color w:val="000000"/>
          <w:sz w:val="24"/>
          <w:szCs w:val="24"/>
        </w:rPr>
        <w:t>an</w:t>
      </w:r>
      <w:r w:rsidR="00C41F5E" w:rsidRPr="00C41F5E">
        <w:rPr>
          <w:rFonts w:ascii="Times New Roman" w:eastAsia="Calibri" w:hAnsi="Times New Roman" w:cs="Times New Roman"/>
          <w:color w:val="000000"/>
          <w:sz w:val="24"/>
          <w:szCs w:val="24"/>
        </w:rPr>
        <w:t xml:space="preserve">d </w:t>
      </w:r>
      <w:r w:rsidR="00C41F5E" w:rsidRPr="00C41F5E">
        <w:rPr>
          <w:rFonts w:ascii="Times New Roman" w:eastAsia="Calibri" w:hAnsi="Times New Roman" w:cs="Times New Roman"/>
          <w:color w:val="000000"/>
          <w:sz w:val="24"/>
          <w:szCs w:val="24"/>
        </w:rPr>
        <w:lastRenderedPageBreak/>
        <w:t xml:space="preserve">there are </w:t>
      </w:r>
      <w:r w:rsidR="003C42DE">
        <w:rPr>
          <w:rFonts w:ascii="Times New Roman" w:eastAsia="Calibri" w:hAnsi="Times New Roman" w:cs="Times New Roman"/>
          <w:color w:val="000000"/>
          <w:sz w:val="24"/>
          <w:szCs w:val="24"/>
        </w:rPr>
        <w:t>sufficient reserves to cover any</w:t>
      </w:r>
      <w:r w:rsidR="00C41F5E" w:rsidRPr="00C41F5E">
        <w:rPr>
          <w:rFonts w:ascii="Times New Roman" w:eastAsia="Calibri" w:hAnsi="Times New Roman" w:cs="Times New Roman"/>
          <w:color w:val="000000"/>
          <w:sz w:val="24"/>
          <w:szCs w:val="24"/>
        </w:rPr>
        <w:t xml:space="preserve"> projected</w:t>
      </w:r>
      <w:r w:rsidR="003C42DE">
        <w:rPr>
          <w:rFonts w:ascii="Times New Roman" w:eastAsia="Calibri" w:hAnsi="Times New Roman" w:cs="Times New Roman"/>
          <w:color w:val="000000"/>
          <w:sz w:val="24"/>
          <w:szCs w:val="24"/>
        </w:rPr>
        <w:t xml:space="preserve"> losses</w:t>
      </w:r>
      <w:r w:rsidR="00C41F5E" w:rsidRPr="00C41F5E">
        <w:rPr>
          <w:rFonts w:ascii="Times New Roman" w:eastAsia="Calibri" w:hAnsi="Times New Roman" w:cs="Times New Roman"/>
          <w:color w:val="000000"/>
          <w:sz w:val="24"/>
          <w:szCs w:val="24"/>
        </w:rPr>
        <w:t xml:space="preserve"> in the first five years of operations.</w:t>
      </w:r>
      <w:r w:rsidR="00C41F5E" w:rsidRPr="00C41F5E">
        <w:rPr>
          <w:rStyle w:val="FootnoteReference"/>
          <w:rFonts w:ascii="Times New Roman" w:eastAsia="Calibri" w:hAnsi="Times New Roman" w:cs="Times New Roman"/>
          <w:color w:val="000000"/>
          <w:sz w:val="24"/>
          <w:szCs w:val="24"/>
        </w:rPr>
        <w:footnoteReference w:id="3"/>
      </w:r>
      <w:r w:rsidR="006176EA" w:rsidRPr="00C41F5E">
        <w:rPr>
          <w:rFonts w:ascii="Times New Roman" w:eastAsia="Calibri" w:hAnsi="Times New Roman" w:cs="Times New Roman"/>
          <w:color w:val="000000"/>
          <w:sz w:val="24"/>
          <w:szCs w:val="24"/>
        </w:rPr>
        <w:t xml:space="preserve"> </w:t>
      </w:r>
      <w:r w:rsidR="00021A6A" w:rsidRPr="00C41F5E">
        <w:rPr>
          <w:rFonts w:ascii="Times New Roman" w:eastAsia="Calibri" w:hAnsi="Times New Roman" w:cs="Times New Roman"/>
          <w:color w:val="000000"/>
          <w:sz w:val="24"/>
          <w:szCs w:val="24"/>
        </w:rPr>
        <w:t>Therefore</w:t>
      </w:r>
      <w:r w:rsidR="00C41F5E" w:rsidRPr="00C41F5E">
        <w:rPr>
          <w:rFonts w:ascii="Times New Roman" w:eastAsia="Calibri" w:hAnsi="Times New Roman" w:cs="Times New Roman"/>
          <w:color w:val="000000"/>
          <w:sz w:val="24"/>
          <w:szCs w:val="24"/>
        </w:rPr>
        <w:t>,</w:t>
      </w:r>
      <w:r w:rsidR="00021A6A" w:rsidRPr="00C41F5E">
        <w:rPr>
          <w:rFonts w:ascii="Times New Roman" w:eastAsia="Calibri" w:hAnsi="Times New Roman" w:cs="Times New Roman"/>
          <w:color w:val="000000"/>
          <w:sz w:val="24"/>
          <w:szCs w:val="24"/>
        </w:rPr>
        <w:t xml:space="preserve"> the </w:t>
      </w:r>
      <w:r w:rsidR="003C42DE">
        <w:rPr>
          <w:rFonts w:ascii="Times New Roman" w:eastAsia="Calibri" w:hAnsi="Times New Roman" w:cs="Times New Roman"/>
          <w:color w:val="000000"/>
          <w:sz w:val="24"/>
          <w:szCs w:val="24"/>
        </w:rPr>
        <w:t>Applicant</w:t>
      </w:r>
      <w:r w:rsidR="00021A6A" w:rsidRPr="00C41F5E">
        <w:rPr>
          <w:rFonts w:ascii="Times New Roman" w:eastAsia="Calibri" w:hAnsi="Times New Roman" w:cs="Times New Roman"/>
          <w:color w:val="000000"/>
          <w:sz w:val="24"/>
          <w:szCs w:val="24"/>
        </w:rPr>
        <w:t xml:space="preserve"> meets the operations test.</w:t>
      </w:r>
      <w:r w:rsidR="00B47F0F">
        <w:rPr>
          <w:rFonts w:ascii="Times New Roman" w:eastAsia="Calibri" w:hAnsi="Times New Roman" w:cs="Times New Roman"/>
          <w:color w:val="000000"/>
          <w:sz w:val="24"/>
          <w:szCs w:val="24"/>
        </w:rPr>
        <w:t xml:space="preserve"> </w:t>
      </w:r>
    </w:p>
    <w:p w14:paraId="4DB1751A" w14:textId="77777777" w:rsidR="00D51C27" w:rsidRDefault="00D51C27" w:rsidP="00D51C27">
      <w:pPr>
        <w:pStyle w:val="BodyText"/>
        <w:spacing w:after="0"/>
        <w:jc w:val="both"/>
        <w:rPr>
          <w:rFonts w:ascii="Times New Roman" w:hAnsi="Times New Roman" w:cs="Times New Roman"/>
        </w:rPr>
      </w:pPr>
    </w:p>
    <w:p w14:paraId="51168226" w14:textId="77777777" w:rsidR="004C3B1C" w:rsidRPr="009E657F" w:rsidRDefault="004C3B1C" w:rsidP="004C3B1C">
      <w:pPr>
        <w:jc w:val="both"/>
        <w:rPr>
          <w:rFonts w:ascii="Times New Roman" w:hAnsi="Times New Roman" w:cs="Times New Roman"/>
          <w:bCs/>
          <w:iCs/>
          <w:sz w:val="24"/>
          <w:szCs w:val="24"/>
        </w:rPr>
      </w:pPr>
      <w:r w:rsidRPr="002A7C1D">
        <w:rPr>
          <w:rFonts w:ascii="Times New Roman" w:eastAsia="Times New Roman" w:hAnsi="Times New Roman" w:cs="Times New Roman"/>
          <w:b/>
          <w:i/>
          <w:sz w:val="24"/>
          <w:szCs w:val="24"/>
        </w:rPr>
        <w:t>TWC § 13.246(d) allows the Commission to require an applicant to provide a bond or other financial assurance in a form and amount specified by the Commission to ensure that continuous and adequate utility service is provided.</w:t>
      </w:r>
    </w:p>
    <w:p w14:paraId="2BE63B0A" w14:textId="1A41B748" w:rsidR="00B27142" w:rsidRDefault="004C3B1C" w:rsidP="004C3B1C">
      <w:pPr>
        <w:pStyle w:val="BodyText"/>
        <w:spacing w:after="0"/>
        <w:jc w:val="both"/>
        <w:rPr>
          <w:rFonts w:ascii="Times New Roman" w:hAnsi="Times New Roman" w:cs="Times New Roman"/>
        </w:rPr>
      </w:pPr>
      <w:r>
        <w:rPr>
          <w:rFonts w:ascii="Times New Roman" w:hAnsi="Times New Roman" w:cs="Times New Roman"/>
        </w:rPr>
        <w:t xml:space="preserve">The Applicant meets the financial tests. </w:t>
      </w:r>
      <w:r w:rsidR="00CF4896">
        <w:rPr>
          <w:rFonts w:ascii="Times New Roman" w:hAnsi="Times New Roman" w:cs="Times New Roman"/>
        </w:rPr>
        <w:t>I</w:t>
      </w:r>
      <w:r>
        <w:rPr>
          <w:rFonts w:ascii="Times New Roman" w:hAnsi="Times New Roman" w:cs="Times New Roman"/>
        </w:rPr>
        <w:t xml:space="preserve"> do not recommend that the Commission require additional financial assurance.</w:t>
      </w:r>
    </w:p>
    <w:p w14:paraId="3A73CB3F" w14:textId="77777777" w:rsidR="00D51C27" w:rsidRDefault="00D51C27" w:rsidP="00D51C27">
      <w:pPr>
        <w:pStyle w:val="ListParagraph"/>
        <w:tabs>
          <w:tab w:val="left" w:pos="0"/>
        </w:tabs>
        <w:ind w:firstLine="0"/>
        <w:jc w:val="both"/>
        <w:rPr>
          <w:rFonts w:ascii="Times New Roman" w:hAnsi="Times New Roman" w:cs="Times New Roman"/>
        </w:rPr>
      </w:pPr>
    </w:p>
    <w:p w14:paraId="0748F6D9" w14:textId="77777777" w:rsidR="00C91B8B" w:rsidRPr="000C0316" w:rsidRDefault="00C91B8B" w:rsidP="00C91B8B">
      <w:pPr>
        <w:tabs>
          <w:tab w:val="left" w:pos="0"/>
        </w:tabs>
        <w:ind w:left="360"/>
        <w:jc w:val="both"/>
        <w:rPr>
          <w:rFonts w:ascii="Times New Roman" w:hAnsi="Times New Roman" w:cs="Times New Roman"/>
          <w:color w:val="31849B" w:themeColor="accent5" w:themeShade="BF"/>
        </w:rPr>
      </w:pPr>
    </w:p>
    <w:p w14:paraId="153296D6" w14:textId="77777777" w:rsidR="00C91B8B" w:rsidRPr="000C0316" w:rsidRDefault="00C91B8B" w:rsidP="00C91B8B">
      <w:pPr>
        <w:tabs>
          <w:tab w:val="left" w:pos="0"/>
        </w:tabs>
        <w:ind w:left="360"/>
        <w:jc w:val="both"/>
        <w:rPr>
          <w:rFonts w:ascii="Times New Roman" w:hAnsi="Times New Roman" w:cs="Times New Roman"/>
          <w:color w:val="31849B" w:themeColor="accent5" w:themeShade="BF"/>
        </w:rPr>
      </w:pPr>
    </w:p>
    <w:p w14:paraId="50D14577" w14:textId="77777777" w:rsidR="00C91B8B" w:rsidRDefault="00C91B8B" w:rsidP="00C91B8B">
      <w:pPr>
        <w:tabs>
          <w:tab w:val="left" w:pos="0"/>
        </w:tabs>
        <w:ind w:left="360"/>
        <w:jc w:val="both"/>
        <w:rPr>
          <w:rFonts w:ascii="Times New Roman" w:hAnsi="Times New Roman" w:cs="Times New Roman"/>
          <w:color w:val="31849B" w:themeColor="accent5" w:themeShade="BF"/>
        </w:rPr>
      </w:pPr>
    </w:p>
    <w:p w14:paraId="0762C924" w14:textId="77777777" w:rsidR="00C91B8B" w:rsidRDefault="00C91B8B" w:rsidP="00C91B8B">
      <w:pPr>
        <w:tabs>
          <w:tab w:val="left" w:pos="0"/>
        </w:tabs>
        <w:ind w:left="360"/>
        <w:jc w:val="both"/>
        <w:rPr>
          <w:rFonts w:ascii="Times New Roman" w:hAnsi="Times New Roman" w:cs="Times New Roman"/>
          <w:color w:val="31849B" w:themeColor="accent5" w:themeShade="BF"/>
        </w:rPr>
      </w:pPr>
    </w:p>
    <w:p w14:paraId="73CB148F" w14:textId="77777777" w:rsidR="00C91B8B" w:rsidRDefault="00C91B8B" w:rsidP="00C91B8B">
      <w:pPr>
        <w:tabs>
          <w:tab w:val="left" w:pos="0"/>
        </w:tabs>
        <w:ind w:left="360"/>
        <w:jc w:val="both"/>
        <w:rPr>
          <w:rFonts w:ascii="Times New Roman" w:hAnsi="Times New Roman" w:cs="Times New Roman"/>
          <w:color w:val="31849B" w:themeColor="accent5" w:themeShade="BF"/>
        </w:rPr>
      </w:pPr>
    </w:p>
    <w:p w14:paraId="50E0B1C7" w14:textId="77777777" w:rsidR="00C91B8B" w:rsidRPr="00C91B8B" w:rsidRDefault="00C91B8B" w:rsidP="00C91B8B">
      <w:pPr>
        <w:tabs>
          <w:tab w:val="left" w:pos="0"/>
        </w:tabs>
        <w:ind w:left="360"/>
        <w:jc w:val="both"/>
        <w:rPr>
          <w:rFonts w:ascii="Times New Roman" w:hAnsi="Times New Roman" w:cs="Times New Roman"/>
          <w:color w:val="31849B" w:themeColor="accent5" w:themeShade="BF"/>
        </w:rPr>
      </w:pPr>
    </w:p>
    <w:sectPr w:rsidR="00C91B8B" w:rsidRPr="00C91B8B" w:rsidSect="00087372">
      <w:headerReference w:type="default" r:id="rId8"/>
      <w:pgSz w:w="12240" w:h="15840"/>
      <w:pgMar w:top="2430" w:right="1440" w:bottom="1440"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480C6" w14:textId="77777777" w:rsidR="004627AB" w:rsidRDefault="004627AB" w:rsidP="00FC14B8">
      <w:r>
        <w:separator/>
      </w:r>
    </w:p>
  </w:endnote>
  <w:endnote w:type="continuationSeparator" w:id="0">
    <w:p w14:paraId="30BE168A" w14:textId="77777777" w:rsidR="004627AB" w:rsidRDefault="004627AB"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52F9B4" w14:textId="77777777" w:rsidR="004627AB" w:rsidRDefault="004627AB" w:rsidP="00FC14B8">
      <w:r>
        <w:separator/>
      </w:r>
    </w:p>
  </w:footnote>
  <w:footnote w:type="continuationSeparator" w:id="0">
    <w:p w14:paraId="554D22F4" w14:textId="77777777" w:rsidR="004627AB" w:rsidRDefault="004627AB" w:rsidP="00FC14B8">
      <w:r>
        <w:continuationSeparator/>
      </w:r>
    </w:p>
  </w:footnote>
  <w:footnote w:id="1">
    <w:p w14:paraId="5710F4A3" w14:textId="6AFE26FF" w:rsidR="004627AB" w:rsidRDefault="004627AB" w:rsidP="00710B14">
      <w:pPr>
        <w:pStyle w:val="FootnoteText"/>
        <w:spacing w:before="0" w:after="0"/>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16 TAC § 24.11</w:t>
      </w:r>
      <w:r>
        <w:rPr>
          <w:rFonts w:ascii="Times New Roman" w:hAnsi="Times New Roman" w:cs="Times New Roman"/>
        </w:rPr>
        <w:t>(e)(2).</w:t>
      </w:r>
    </w:p>
    <w:p w14:paraId="332AEF7C" w14:textId="77777777" w:rsidR="00710B14" w:rsidRPr="001E4D2F" w:rsidRDefault="00710B14" w:rsidP="00B6771F">
      <w:pPr>
        <w:pStyle w:val="FootnoteText"/>
        <w:spacing w:before="0" w:after="0"/>
        <w:rPr>
          <w:rFonts w:ascii="Times New Roman" w:hAnsi="Times New Roman" w:cs="Times New Roman"/>
        </w:rPr>
      </w:pPr>
    </w:p>
  </w:footnote>
  <w:footnote w:id="2">
    <w:p w14:paraId="4085E6C9" w14:textId="77777777" w:rsidR="004627AB" w:rsidRPr="00A04A11" w:rsidRDefault="004627AB" w:rsidP="00B6771F">
      <w:pPr>
        <w:pStyle w:val="FootnoteText"/>
        <w:spacing w:before="0" w:after="0"/>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w:t>
      </w:r>
      <w:bookmarkStart w:id="1" w:name="_Hlk35001278"/>
      <w:r>
        <w:rPr>
          <w:rFonts w:ascii="Times New Roman" w:hAnsi="Times New Roman" w:cs="Times New Roman"/>
          <w:i/>
        </w:rPr>
        <w:t>Id</w:t>
      </w:r>
      <w:r>
        <w:rPr>
          <w:rFonts w:ascii="Times New Roman" w:hAnsi="Times New Roman" w:cs="Times New Roman"/>
        </w:rPr>
        <w:t>.</w:t>
      </w:r>
    </w:p>
    <w:bookmarkEnd w:id="1"/>
  </w:footnote>
  <w:footnote w:id="3">
    <w:p w14:paraId="22F0962A" w14:textId="1B49542B" w:rsidR="004627AB" w:rsidRDefault="003C42DE" w:rsidP="00B6771F">
      <w:pPr>
        <w:pStyle w:val="FootnoteText"/>
        <w:spacing w:before="0" w:after="0"/>
      </w:pPr>
      <w:r>
        <w:tab/>
      </w:r>
      <w:r w:rsidR="004627AB">
        <w:rPr>
          <w:rStyle w:val="FootnoteReference"/>
        </w:rPr>
        <w:footnoteRef/>
      </w:r>
      <w:r w:rsidR="004627AB">
        <w:t xml:space="preserve">  </w:t>
      </w:r>
      <w:r w:rsidRPr="003C42DE">
        <w:rPr>
          <w:rFonts w:ascii="Times New Roman" w:hAnsi="Times New Roman" w:cs="Times New Roman"/>
        </w:rPr>
        <w:t>Confidential - Rate Schedule; Bate Stamp 70-78 (12/6/19).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36CA4" w14:textId="77777777" w:rsidR="004627AB" w:rsidRDefault="004627AB" w:rsidP="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p w14:paraId="2D2E550F" w14:textId="30531904" w:rsidR="004627AB" w:rsidRPr="00087372" w:rsidRDefault="004627AB" w:rsidP="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r w:rsidRPr="00087372">
      <w:rPr>
        <w:rFonts w:ascii="Times New Roman" w:eastAsia="Times New Roman" w:hAnsi="Times New Roman" w:cs="Times New Roman"/>
        <w:b/>
        <w:i/>
        <w:sz w:val="38"/>
        <w:szCs w:val="20"/>
      </w:rPr>
      <w:t>Public Utility Commission of Texas</w:t>
    </w:r>
  </w:p>
  <w:p w14:paraId="6581E78E" w14:textId="77777777" w:rsidR="004627AB" w:rsidRPr="00087372" w:rsidRDefault="004627AB" w:rsidP="00087372">
    <w:pPr>
      <w:tabs>
        <w:tab w:val="left" w:pos="1800"/>
        <w:tab w:val="left" w:pos="6840"/>
        <w:tab w:val="right" w:pos="8640"/>
      </w:tabs>
      <w:overflowPunct w:val="0"/>
      <w:autoSpaceDE w:val="0"/>
      <w:autoSpaceDN w:val="0"/>
      <w:adjustRightInd w:val="0"/>
      <w:spacing w:before="120" w:after="120"/>
      <w:textAlignment w:val="baseline"/>
      <w:rPr>
        <w:rFonts w:ascii="Times New Roman" w:eastAsia="Times New Roman" w:hAnsi="Times New Roman" w:cs="Times New Roman"/>
        <w:b/>
        <w:sz w:val="12"/>
        <w:szCs w:val="20"/>
      </w:rPr>
    </w:pPr>
    <w:r w:rsidRPr="00087372">
      <w:rPr>
        <w:rFonts w:ascii="Times New Roman" w:eastAsia="Times New Roman" w:hAnsi="Times New Roman" w:cs="Times New Roman"/>
        <w:b/>
        <w:sz w:val="12"/>
        <w:szCs w:val="20"/>
      </w:rPr>
      <w:tab/>
    </w:r>
    <w:r w:rsidRPr="00087372">
      <w:rPr>
        <w:rFonts w:ascii="Times New Roman" w:eastAsia="Times New Roman" w:hAnsi="Times New Roman" w:cs="Times New Roman"/>
        <w:b/>
        <w:sz w:val="12"/>
        <w:szCs w:val="20"/>
        <w:u w:val="single"/>
      </w:rPr>
      <w:tab/>
    </w:r>
  </w:p>
  <w:p w14:paraId="439D1AE3" w14:textId="77777777" w:rsidR="004627AB" w:rsidRPr="00087372" w:rsidRDefault="004627AB" w:rsidP="00087372">
    <w:pPr>
      <w:tabs>
        <w:tab w:val="left" w:pos="1980"/>
        <w:tab w:val="center" w:pos="4320"/>
        <w:tab w:val="left" w:pos="6750"/>
        <w:tab w:val="right" w:pos="8640"/>
      </w:tabs>
      <w:overflowPunct w:val="0"/>
      <w:autoSpaceDE w:val="0"/>
      <w:autoSpaceDN w:val="0"/>
      <w:adjustRightInd w:val="0"/>
      <w:jc w:val="center"/>
      <w:textAlignment w:val="baseline"/>
      <w:rPr>
        <w:rFonts w:ascii="Times New Roman" w:eastAsia="Times New Roman" w:hAnsi="Times New Roman" w:cs="Times New Roman"/>
        <w:b/>
        <w:sz w:val="38"/>
        <w:szCs w:val="20"/>
      </w:rPr>
    </w:pPr>
    <w:r w:rsidRPr="00087372">
      <w:rPr>
        <w:rFonts w:ascii="Times New Roman" w:eastAsia="Times New Roman" w:hAnsi="Times New Roman" w:cs="Times New Roman"/>
        <w:b/>
        <w:sz w:val="38"/>
        <w:szCs w:val="20"/>
      </w:rPr>
      <w:t>Memorandum</w:t>
    </w:r>
  </w:p>
  <w:p w14:paraId="60F9E750" w14:textId="77777777" w:rsidR="004627AB" w:rsidRPr="0034753C" w:rsidRDefault="004627AB" w:rsidP="000873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trackRevisions/>
  <w:defaultTabStop w:val="720"/>
  <w:clickAndTypeStyle w:val="BodyText"/>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142"/>
    <w:rsid w:val="00004B55"/>
    <w:rsid w:val="00006889"/>
    <w:rsid w:val="00021A6A"/>
    <w:rsid w:val="0003128E"/>
    <w:rsid w:val="000407E5"/>
    <w:rsid w:val="00041EA5"/>
    <w:rsid w:val="00051B7F"/>
    <w:rsid w:val="00052A6C"/>
    <w:rsid w:val="000537E5"/>
    <w:rsid w:val="000570CA"/>
    <w:rsid w:val="000633EE"/>
    <w:rsid w:val="00066D7A"/>
    <w:rsid w:val="00073089"/>
    <w:rsid w:val="00083812"/>
    <w:rsid w:val="00087372"/>
    <w:rsid w:val="000934CA"/>
    <w:rsid w:val="0009760A"/>
    <w:rsid w:val="000A4AD2"/>
    <w:rsid w:val="000B3910"/>
    <w:rsid w:val="000B703D"/>
    <w:rsid w:val="000C0316"/>
    <w:rsid w:val="000C385A"/>
    <w:rsid w:val="000C4C33"/>
    <w:rsid w:val="000D2FCC"/>
    <w:rsid w:val="000D6501"/>
    <w:rsid w:val="000D7576"/>
    <w:rsid w:val="000E0220"/>
    <w:rsid w:val="000F22F9"/>
    <w:rsid w:val="000F5A2D"/>
    <w:rsid w:val="001001A6"/>
    <w:rsid w:val="0010716A"/>
    <w:rsid w:val="0011324E"/>
    <w:rsid w:val="00116413"/>
    <w:rsid w:val="0011712C"/>
    <w:rsid w:val="00130055"/>
    <w:rsid w:val="00143B99"/>
    <w:rsid w:val="00150759"/>
    <w:rsid w:val="001577AA"/>
    <w:rsid w:val="001577C3"/>
    <w:rsid w:val="001677BF"/>
    <w:rsid w:val="00181110"/>
    <w:rsid w:val="0018607B"/>
    <w:rsid w:val="00187C97"/>
    <w:rsid w:val="001B2EF1"/>
    <w:rsid w:val="001B5056"/>
    <w:rsid w:val="001D118B"/>
    <w:rsid w:val="001D383F"/>
    <w:rsid w:val="001D6620"/>
    <w:rsid w:val="001E44CD"/>
    <w:rsid w:val="001F7D01"/>
    <w:rsid w:val="002113A7"/>
    <w:rsid w:val="00214B19"/>
    <w:rsid w:val="002239DC"/>
    <w:rsid w:val="0022510A"/>
    <w:rsid w:val="002251E0"/>
    <w:rsid w:val="00230F33"/>
    <w:rsid w:val="00231FE8"/>
    <w:rsid w:val="0023473F"/>
    <w:rsid w:val="00235F12"/>
    <w:rsid w:val="0024080E"/>
    <w:rsid w:val="00240FC5"/>
    <w:rsid w:val="00261265"/>
    <w:rsid w:val="002661F1"/>
    <w:rsid w:val="00267310"/>
    <w:rsid w:val="002677C4"/>
    <w:rsid w:val="00285FE2"/>
    <w:rsid w:val="00290054"/>
    <w:rsid w:val="00291F3A"/>
    <w:rsid w:val="00297D38"/>
    <w:rsid w:val="002A16CF"/>
    <w:rsid w:val="002C24D7"/>
    <w:rsid w:val="002D4E2D"/>
    <w:rsid w:val="002E0771"/>
    <w:rsid w:val="00313C29"/>
    <w:rsid w:val="00321261"/>
    <w:rsid w:val="00325630"/>
    <w:rsid w:val="00327436"/>
    <w:rsid w:val="00334979"/>
    <w:rsid w:val="0034146B"/>
    <w:rsid w:val="0034753C"/>
    <w:rsid w:val="00351FD0"/>
    <w:rsid w:val="00380317"/>
    <w:rsid w:val="0038111A"/>
    <w:rsid w:val="003932D2"/>
    <w:rsid w:val="00393C75"/>
    <w:rsid w:val="00396312"/>
    <w:rsid w:val="003977AB"/>
    <w:rsid w:val="003A098C"/>
    <w:rsid w:val="003B1A8C"/>
    <w:rsid w:val="003B41DF"/>
    <w:rsid w:val="003B6DC0"/>
    <w:rsid w:val="003C2DC4"/>
    <w:rsid w:val="003C42DE"/>
    <w:rsid w:val="003D04A0"/>
    <w:rsid w:val="003D2FF5"/>
    <w:rsid w:val="003F5ABB"/>
    <w:rsid w:val="0040075B"/>
    <w:rsid w:val="0040250D"/>
    <w:rsid w:val="004060C0"/>
    <w:rsid w:val="004155E3"/>
    <w:rsid w:val="00422351"/>
    <w:rsid w:val="00460B34"/>
    <w:rsid w:val="0046133A"/>
    <w:rsid w:val="004627AB"/>
    <w:rsid w:val="004652A2"/>
    <w:rsid w:val="00470120"/>
    <w:rsid w:val="004A3895"/>
    <w:rsid w:val="004A515B"/>
    <w:rsid w:val="004A75DB"/>
    <w:rsid w:val="004B71D3"/>
    <w:rsid w:val="004B7A15"/>
    <w:rsid w:val="004C3B1C"/>
    <w:rsid w:val="004D2CA6"/>
    <w:rsid w:val="004E7923"/>
    <w:rsid w:val="0050560F"/>
    <w:rsid w:val="00510EC5"/>
    <w:rsid w:val="00511C0E"/>
    <w:rsid w:val="00511DCF"/>
    <w:rsid w:val="00512644"/>
    <w:rsid w:val="005206BE"/>
    <w:rsid w:val="00520E0D"/>
    <w:rsid w:val="005310D6"/>
    <w:rsid w:val="0053215C"/>
    <w:rsid w:val="005464F5"/>
    <w:rsid w:val="0055212A"/>
    <w:rsid w:val="00556A8F"/>
    <w:rsid w:val="00562521"/>
    <w:rsid w:val="00564B25"/>
    <w:rsid w:val="00572A0A"/>
    <w:rsid w:val="0058163A"/>
    <w:rsid w:val="005A559A"/>
    <w:rsid w:val="005B0A1D"/>
    <w:rsid w:val="005B5358"/>
    <w:rsid w:val="005C067C"/>
    <w:rsid w:val="005C158E"/>
    <w:rsid w:val="005C75FB"/>
    <w:rsid w:val="005E0C7D"/>
    <w:rsid w:val="005E0EE6"/>
    <w:rsid w:val="005F337F"/>
    <w:rsid w:val="006176EA"/>
    <w:rsid w:val="00631D51"/>
    <w:rsid w:val="00635B2E"/>
    <w:rsid w:val="006415BF"/>
    <w:rsid w:val="00651FE8"/>
    <w:rsid w:val="0065525B"/>
    <w:rsid w:val="00660E5C"/>
    <w:rsid w:val="00670620"/>
    <w:rsid w:val="006730D8"/>
    <w:rsid w:val="006B7008"/>
    <w:rsid w:val="006C06CB"/>
    <w:rsid w:val="006C153F"/>
    <w:rsid w:val="006C3629"/>
    <w:rsid w:val="006C506F"/>
    <w:rsid w:val="006C6CEB"/>
    <w:rsid w:val="006E1E18"/>
    <w:rsid w:val="006E3955"/>
    <w:rsid w:val="006F0676"/>
    <w:rsid w:val="0070623A"/>
    <w:rsid w:val="00710B14"/>
    <w:rsid w:val="00713497"/>
    <w:rsid w:val="0072083B"/>
    <w:rsid w:val="0072249E"/>
    <w:rsid w:val="00723C71"/>
    <w:rsid w:val="00727F1C"/>
    <w:rsid w:val="007325D9"/>
    <w:rsid w:val="00732647"/>
    <w:rsid w:val="00742FAE"/>
    <w:rsid w:val="00746472"/>
    <w:rsid w:val="00752975"/>
    <w:rsid w:val="007554A6"/>
    <w:rsid w:val="0075555A"/>
    <w:rsid w:val="0075745D"/>
    <w:rsid w:val="0077034A"/>
    <w:rsid w:val="0079035C"/>
    <w:rsid w:val="0079334B"/>
    <w:rsid w:val="007A4BB7"/>
    <w:rsid w:val="007A510F"/>
    <w:rsid w:val="007A6E43"/>
    <w:rsid w:val="007B42B5"/>
    <w:rsid w:val="007C36A5"/>
    <w:rsid w:val="007D2DF2"/>
    <w:rsid w:val="007D64F3"/>
    <w:rsid w:val="007F1D92"/>
    <w:rsid w:val="00814426"/>
    <w:rsid w:val="00817299"/>
    <w:rsid w:val="0081750E"/>
    <w:rsid w:val="0082173B"/>
    <w:rsid w:val="00821F70"/>
    <w:rsid w:val="008265C4"/>
    <w:rsid w:val="00833B41"/>
    <w:rsid w:val="008635E3"/>
    <w:rsid w:val="008740A1"/>
    <w:rsid w:val="00874FB9"/>
    <w:rsid w:val="008755F2"/>
    <w:rsid w:val="00875612"/>
    <w:rsid w:val="00883E28"/>
    <w:rsid w:val="008920E1"/>
    <w:rsid w:val="008929DC"/>
    <w:rsid w:val="00892E9F"/>
    <w:rsid w:val="0089538C"/>
    <w:rsid w:val="008A1DB8"/>
    <w:rsid w:val="008B5203"/>
    <w:rsid w:val="008B6369"/>
    <w:rsid w:val="008E07A1"/>
    <w:rsid w:val="008E33DD"/>
    <w:rsid w:val="008F2C2A"/>
    <w:rsid w:val="008F3EBE"/>
    <w:rsid w:val="008F48F6"/>
    <w:rsid w:val="0090218B"/>
    <w:rsid w:val="0090264B"/>
    <w:rsid w:val="00904A37"/>
    <w:rsid w:val="00913191"/>
    <w:rsid w:val="0092631F"/>
    <w:rsid w:val="009307FC"/>
    <w:rsid w:val="00930CB7"/>
    <w:rsid w:val="00953BE1"/>
    <w:rsid w:val="00965FF9"/>
    <w:rsid w:val="00974E8C"/>
    <w:rsid w:val="00985E69"/>
    <w:rsid w:val="00996B99"/>
    <w:rsid w:val="009A03C7"/>
    <w:rsid w:val="009A08B5"/>
    <w:rsid w:val="009A3367"/>
    <w:rsid w:val="009B0E00"/>
    <w:rsid w:val="009B27CA"/>
    <w:rsid w:val="009C639B"/>
    <w:rsid w:val="009D413A"/>
    <w:rsid w:val="009E01AB"/>
    <w:rsid w:val="009E0E58"/>
    <w:rsid w:val="009E24A8"/>
    <w:rsid w:val="009E3F12"/>
    <w:rsid w:val="00A03680"/>
    <w:rsid w:val="00A041EA"/>
    <w:rsid w:val="00A04A11"/>
    <w:rsid w:val="00A0641D"/>
    <w:rsid w:val="00A10B74"/>
    <w:rsid w:val="00A11D4C"/>
    <w:rsid w:val="00A12A5E"/>
    <w:rsid w:val="00A13BCE"/>
    <w:rsid w:val="00A17C44"/>
    <w:rsid w:val="00A203D3"/>
    <w:rsid w:val="00A2193F"/>
    <w:rsid w:val="00A23779"/>
    <w:rsid w:val="00A2413F"/>
    <w:rsid w:val="00A371E4"/>
    <w:rsid w:val="00A417B7"/>
    <w:rsid w:val="00A47C1C"/>
    <w:rsid w:val="00A5636C"/>
    <w:rsid w:val="00A72CB7"/>
    <w:rsid w:val="00A75BA9"/>
    <w:rsid w:val="00A87498"/>
    <w:rsid w:val="00AA0783"/>
    <w:rsid w:val="00AB074C"/>
    <w:rsid w:val="00AD7878"/>
    <w:rsid w:val="00AE2F96"/>
    <w:rsid w:val="00AF3DA4"/>
    <w:rsid w:val="00B010E0"/>
    <w:rsid w:val="00B137BB"/>
    <w:rsid w:val="00B20671"/>
    <w:rsid w:val="00B27142"/>
    <w:rsid w:val="00B3681B"/>
    <w:rsid w:val="00B36BD2"/>
    <w:rsid w:val="00B4403F"/>
    <w:rsid w:val="00B46C26"/>
    <w:rsid w:val="00B47F0F"/>
    <w:rsid w:val="00B66A9D"/>
    <w:rsid w:val="00B6771F"/>
    <w:rsid w:val="00B83632"/>
    <w:rsid w:val="00B85739"/>
    <w:rsid w:val="00BA341C"/>
    <w:rsid w:val="00BC2257"/>
    <w:rsid w:val="00BE4140"/>
    <w:rsid w:val="00BE7406"/>
    <w:rsid w:val="00BF000E"/>
    <w:rsid w:val="00BF29BC"/>
    <w:rsid w:val="00C005AE"/>
    <w:rsid w:val="00C123A6"/>
    <w:rsid w:val="00C157D1"/>
    <w:rsid w:val="00C17D1B"/>
    <w:rsid w:val="00C30E87"/>
    <w:rsid w:val="00C31DB1"/>
    <w:rsid w:val="00C41F5E"/>
    <w:rsid w:val="00C4245F"/>
    <w:rsid w:val="00C42818"/>
    <w:rsid w:val="00C470A8"/>
    <w:rsid w:val="00C56984"/>
    <w:rsid w:val="00C7342F"/>
    <w:rsid w:val="00C75A97"/>
    <w:rsid w:val="00C8246A"/>
    <w:rsid w:val="00C866BE"/>
    <w:rsid w:val="00C86D3D"/>
    <w:rsid w:val="00C90FFA"/>
    <w:rsid w:val="00C91B8B"/>
    <w:rsid w:val="00C95864"/>
    <w:rsid w:val="00CA3593"/>
    <w:rsid w:val="00CD1087"/>
    <w:rsid w:val="00CE39A2"/>
    <w:rsid w:val="00CF0C50"/>
    <w:rsid w:val="00CF4896"/>
    <w:rsid w:val="00CF721E"/>
    <w:rsid w:val="00CF7F61"/>
    <w:rsid w:val="00D36E5C"/>
    <w:rsid w:val="00D373E3"/>
    <w:rsid w:val="00D44331"/>
    <w:rsid w:val="00D51C27"/>
    <w:rsid w:val="00D52763"/>
    <w:rsid w:val="00D53590"/>
    <w:rsid w:val="00D55F65"/>
    <w:rsid w:val="00D8061B"/>
    <w:rsid w:val="00D82F2D"/>
    <w:rsid w:val="00D9218C"/>
    <w:rsid w:val="00DA202A"/>
    <w:rsid w:val="00DA6F1E"/>
    <w:rsid w:val="00DB2C0D"/>
    <w:rsid w:val="00DB788B"/>
    <w:rsid w:val="00DF398D"/>
    <w:rsid w:val="00DF51C2"/>
    <w:rsid w:val="00E14844"/>
    <w:rsid w:val="00E213FA"/>
    <w:rsid w:val="00E419D9"/>
    <w:rsid w:val="00E428F8"/>
    <w:rsid w:val="00E52263"/>
    <w:rsid w:val="00E74C2A"/>
    <w:rsid w:val="00E910F6"/>
    <w:rsid w:val="00E93B08"/>
    <w:rsid w:val="00E97F80"/>
    <w:rsid w:val="00EC0493"/>
    <w:rsid w:val="00ED592D"/>
    <w:rsid w:val="00EF11FD"/>
    <w:rsid w:val="00EF6A56"/>
    <w:rsid w:val="00F369F6"/>
    <w:rsid w:val="00F40FEE"/>
    <w:rsid w:val="00F51FE7"/>
    <w:rsid w:val="00F52CB4"/>
    <w:rsid w:val="00F56A6D"/>
    <w:rsid w:val="00F56E78"/>
    <w:rsid w:val="00F72390"/>
    <w:rsid w:val="00F7297A"/>
    <w:rsid w:val="00F823B9"/>
    <w:rsid w:val="00F84C3B"/>
    <w:rsid w:val="00F963F4"/>
    <w:rsid w:val="00F96F4B"/>
    <w:rsid w:val="00FA3258"/>
    <w:rsid w:val="00FB1DEC"/>
    <w:rsid w:val="00FC02E5"/>
    <w:rsid w:val="00FC14B8"/>
    <w:rsid w:val="00FD0F07"/>
    <w:rsid w:val="00FD2A83"/>
    <w:rsid w:val="00FE4F73"/>
    <w:rsid w:val="00FF26E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0B85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10716A"/>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AB074C"/>
    <w:pPr>
      <w:tabs>
        <w:tab w:val="left" w:pos="720"/>
      </w:tabs>
      <w:spacing w:before="-1" w:after="-1"/>
    </w:pPr>
    <w:rPr>
      <w:rFonts w:ascii="Comic Sans MS" w:hAnsi="Comic Sans MS"/>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C23DE-E79C-4989-B4E1-55846E944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363</Words>
  <Characters>2072</Characters>
  <Application>Microsoft Office Word</Application>
  <DocSecurity>0</DocSecurity>
  <Lines>17</Lines>
  <Paragraphs>4</Paragraphs>
  <ScaleCrop>false</ScaleCrop>
  <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2021-02-26T18:04:00Z</dcterms:created>
  <dcterms:modified xsi:type="dcterms:W3CDTF">2021-02-26T18:04:00Z</dcterms:modified>
</cp:coreProperties>
</file>